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3D38" w14:textId="77777777" w:rsidR="00403A2B" w:rsidRPr="00403A2B" w:rsidRDefault="00403A2B" w:rsidP="00403A2B">
      <w:pPr>
        <w:ind w:right="339"/>
        <w:jc w:val="center"/>
        <w:rPr>
          <w:rFonts w:asciiTheme="majorHAnsi" w:eastAsia="Times New Roman" w:hAnsiTheme="majorHAnsi" w:cstheme="majorHAnsi"/>
          <w:b/>
          <w:bCs/>
          <w:color w:val="44546A" w:themeColor="text2"/>
        </w:rPr>
      </w:pPr>
      <w:r w:rsidRPr="00403A2B">
        <w:rPr>
          <w:rFonts w:asciiTheme="majorHAnsi" w:eastAsia="Times New Roman" w:hAnsiTheme="majorHAnsi" w:cstheme="majorHAnsi"/>
          <w:b/>
          <w:bCs/>
          <w:color w:val="44546A" w:themeColor="text2"/>
        </w:rPr>
        <w:t>PRESS RELEASE</w:t>
      </w:r>
    </w:p>
    <w:p w14:paraId="5B23318E" w14:textId="77777777" w:rsidR="00B42882" w:rsidRPr="00B42882" w:rsidRDefault="00B42882" w:rsidP="004953EB">
      <w:pPr>
        <w:ind w:right="339"/>
        <w:jc w:val="center"/>
        <w:rPr>
          <w:rFonts w:asciiTheme="majorHAnsi" w:eastAsia="Times New Roman" w:hAnsiTheme="majorHAnsi" w:cstheme="majorHAnsi"/>
          <w:b/>
          <w:color w:val="44546A" w:themeColor="text2"/>
        </w:rPr>
      </w:pPr>
    </w:p>
    <w:p w14:paraId="6540AE55" w14:textId="7D6CDCAD" w:rsidR="00403A2B" w:rsidRDefault="00403A2B" w:rsidP="00403A2B">
      <w:pPr>
        <w:contextualSpacing/>
        <w:jc w:val="center"/>
        <w:rPr>
          <w:rFonts w:asciiTheme="majorHAnsi" w:eastAsia="Times New Roman" w:hAnsiTheme="majorHAnsi" w:cstheme="majorHAnsi"/>
          <w:bCs/>
          <w:color w:val="4472C4" w:themeColor="accent1"/>
          <w:lang w:val="en-GB"/>
        </w:rPr>
      </w:pPr>
      <w:proofErr w:type="spellStart"/>
      <w:r w:rsidRPr="007B6EE9">
        <w:rPr>
          <w:rFonts w:asciiTheme="majorHAnsi" w:eastAsia="Times New Roman" w:hAnsiTheme="majorHAnsi" w:cstheme="majorHAnsi"/>
          <w:bCs/>
          <w:color w:val="4472C4" w:themeColor="accent1"/>
          <w:lang w:val="en-GB"/>
        </w:rPr>
        <w:t>ArlatiGhislandi</w:t>
      </w:r>
      <w:proofErr w:type="spellEnd"/>
      <w:r w:rsidRPr="007B6EE9">
        <w:rPr>
          <w:rFonts w:asciiTheme="majorHAnsi" w:eastAsia="Times New Roman" w:hAnsiTheme="majorHAnsi" w:cstheme="majorHAnsi"/>
          <w:bCs/>
          <w:color w:val="4472C4" w:themeColor="accent1"/>
          <w:lang w:val="en-GB"/>
        </w:rPr>
        <w:t xml:space="preserve"> and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4472C4" w:themeColor="accent1"/>
          <w:lang w:val="en-GB"/>
        </w:rPr>
        <w:t>Syrto</w:t>
      </w:r>
      <w:proofErr w:type="spellEnd"/>
      <w:r w:rsidRPr="007B6EE9">
        <w:rPr>
          <w:rFonts w:asciiTheme="majorHAnsi" w:eastAsia="Times New Roman" w:hAnsiTheme="majorHAnsi" w:cstheme="majorHAnsi"/>
          <w:bCs/>
          <w:color w:val="4472C4" w:themeColor="accent1"/>
          <w:lang w:val="en-GB"/>
        </w:rPr>
        <w:t>: a cutting-edge partnership</w:t>
      </w:r>
    </w:p>
    <w:p w14:paraId="467532C3" w14:textId="198A2F2E" w:rsidR="00403A2B" w:rsidRPr="007B6EE9" w:rsidRDefault="00403A2B" w:rsidP="00403A2B">
      <w:pPr>
        <w:contextualSpacing/>
        <w:jc w:val="center"/>
        <w:rPr>
          <w:rFonts w:asciiTheme="majorHAnsi" w:eastAsia="Times New Roman" w:hAnsiTheme="majorHAnsi" w:cstheme="majorHAnsi"/>
          <w:bCs/>
          <w:color w:val="4472C4" w:themeColor="accent1"/>
          <w:lang w:val="en-GB"/>
        </w:rPr>
      </w:pPr>
      <w:r w:rsidRPr="007B6EE9">
        <w:rPr>
          <w:rFonts w:asciiTheme="majorHAnsi" w:eastAsia="Times New Roman" w:hAnsiTheme="majorHAnsi" w:cstheme="majorHAnsi"/>
          <w:bCs/>
          <w:color w:val="4472C4" w:themeColor="accent1"/>
          <w:lang w:val="en-GB"/>
        </w:rPr>
        <w:t>between labour law and artificial intelligence</w:t>
      </w:r>
    </w:p>
    <w:p w14:paraId="3973D1DA" w14:textId="77777777" w:rsidR="00CE214B" w:rsidRPr="00CE214B" w:rsidRDefault="00CE214B" w:rsidP="00CE214B">
      <w:pPr>
        <w:jc w:val="both"/>
        <w:rPr>
          <w:rFonts w:asciiTheme="majorHAnsi" w:eastAsia="Times New Roman" w:hAnsiTheme="majorHAnsi" w:cstheme="majorHAnsi"/>
          <w:bCs/>
          <w:color w:val="44546A" w:themeColor="text2"/>
        </w:rPr>
      </w:pPr>
    </w:p>
    <w:p w14:paraId="66C54CE2" w14:textId="77777777" w:rsidR="00403A2B" w:rsidRPr="00403A2B" w:rsidRDefault="00403A2B" w:rsidP="00403A2B">
      <w:pPr>
        <w:pStyle w:val="Paragrafoelenco"/>
        <w:numPr>
          <w:ilvl w:val="0"/>
          <w:numId w:val="9"/>
        </w:numPr>
        <w:contextualSpacing/>
        <w:jc w:val="both"/>
        <w:rPr>
          <w:rFonts w:asciiTheme="majorHAnsi" w:eastAsia="Times New Roman" w:hAnsiTheme="majorHAnsi" w:cstheme="majorHAnsi"/>
          <w:bCs/>
          <w:i/>
          <w:iCs/>
          <w:color w:val="44546A" w:themeColor="text2"/>
          <w:lang w:val="en-GB"/>
        </w:rPr>
      </w:pPr>
      <w:r w:rsidRPr="00403A2B">
        <w:rPr>
          <w:rFonts w:asciiTheme="majorHAnsi" w:eastAsia="Times New Roman" w:hAnsiTheme="majorHAnsi" w:cstheme="majorHAnsi"/>
          <w:bCs/>
          <w:i/>
          <w:iCs/>
          <w:color w:val="44546A" w:themeColor="text2"/>
          <w:lang w:val="en-GB"/>
        </w:rPr>
        <w:t>A partnership combining the HR expertise of one of Italy's leading employment law firms with the financial intelligence of one of the most innovative tech companies on the national scene</w:t>
      </w:r>
    </w:p>
    <w:p w14:paraId="69577746" w14:textId="77777777" w:rsidR="00374FA5" w:rsidRDefault="00374FA5" w:rsidP="00374FA5">
      <w:pPr>
        <w:contextualSpacing/>
        <w:jc w:val="both"/>
        <w:rPr>
          <w:rFonts w:asciiTheme="majorHAnsi" w:eastAsia="Times New Roman" w:hAnsiTheme="majorHAnsi" w:cstheme="majorHAnsi"/>
          <w:bCs/>
          <w:color w:val="44546A" w:themeColor="text2"/>
        </w:rPr>
      </w:pPr>
    </w:p>
    <w:p w14:paraId="78A58E4D" w14:textId="77777777" w:rsidR="00374FA5" w:rsidRPr="00374FA5" w:rsidRDefault="00374FA5" w:rsidP="00374FA5">
      <w:pPr>
        <w:contextualSpacing/>
        <w:jc w:val="both"/>
        <w:rPr>
          <w:rFonts w:asciiTheme="majorHAnsi" w:eastAsia="Times New Roman" w:hAnsiTheme="majorHAnsi" w:cstheme="majorHAnsi"/>
          <w:bCs/>
          <w:color w:val="44546A" w:themeColor="text2"/>
        </w:rPr>
      </w:pPr>
    </w:p>
    <w:p w14:paraId="5E12FDA0" w14:textId="77777777" w:rsidR="00403A2B" w:rsidRPr="00403A2B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44546A" w:themeColor="text2"/>
          <w:lang w:val="en-GB"/>
        </w:rPr>
      </w:pPr>
      <w:r w:rsidRPr="00403A2B">
        <w:rPr>
          <w:rFonts w:asciiTheme="majorHAnsi" w:eastAsia="Times New Roman" w:hAnsiTheme="majorHAnsi" w:cstheme="majorHAnsi"/>
          <w:bCs/>
          <w:color w:val="44546A" w:themeColor="text2"/>
          <w:lang w:val="en-GB"/>
        </w:rPr>
        <w:t>Milan, 27 April 2026</w:t>
      </w:r>
    </w:p>
    <w:p w14:paraId="50166898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06B76B9C" w14:textId="77777777" w:rsidR="00403A2B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ArlatiGhislandi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, </w:t>
      </w:r>
      <w:r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with its expertise in </w:t>
      </w: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labour, industrial relations and tax law, and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Syrto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, pioneer</w:t>
      </w:r>
      <w:r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</w:t>
      </w: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tech company</w:t>
      </w:r>
      <w:r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in the application of</w:t>
      </w: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Artificial Intelligence to business analysis, announce the launch of a partnership that marks a unique connection in the HR and AI landscape.</w:t>
      </w:r>
    </w:p>
    <w:p w14:paraId="5A0EE003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45A7F1B9" w14:textId="77777777" w:rsidR="00403A2B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The collaboration is strategically aimed at the applied development of artificial intelligence in the HR field, a context still largely unexplored in terms of predictive analytics and data modelling.</w:t>
      </w:r>
    </w:p>
    <w:p w14:paraId="38E51D70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56F12CEF" w14:textId="77777777" w:rsidR="00403A2B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The goal is to put predictive capabilities at the service of HR managers, transforming decision-making processes from experience-based to choices grounded in data and forward-looking models. To achieve this,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ArlatiGhislandi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and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Syrto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are already working to produce an "agentic system" capable of reaching complex objectives, integrating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Syrto's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data lake with heterogeneous data sources, adapting its behaviour to context, and generating insights that were not explicitly programmed.</w:t>
      </w:r>
    </w:p>
    <w:p w14:paraId="4CBFB3EF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7D55A7C9" w14:textId="77777777" w:rsidR="00403A2B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The specific knowledge of HR needs and use cases within companies, combined with </w:t>
      </w:r>
      <w:proofErr w:type="spellStart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Syrto's</w:t>
      </w:r>
      <w:proofErr w:type="spellEnd"/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 xml:space="preserve"> technological expertise and proven track record in predictive AI, will make it possible to manage the ordinary dynamics of employment relationships by monitoring and planning their costs and benefits - and, above all, to detect and prevent signs of instability, manage headcount and growth, and define strategic human resources decisions within the organisation.</w:t>
      </w:r>
    </w:p>
    <w:p w14:paraId="0E021E2E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5A12B77D" w14:textId="77777777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  <w:r w:rsidRPr="007B6EE9">
        <w:rPr>
          <w:rFonts w:asciiTheme="majorHAnsi" w:eastAsia="Times New Roman" w:hAnsiTheme="majorHAnsi" w:cstheme="majorHAnsi"/>
          <w:bCs/>
          <w:color w:val="000000" w:themeColor="text1"/>
          <w:lang w:val="en-GB"/>
        </w:rPr>
        <w:t>The partnership's ambition is therefore to evolve tools that describe the past into systems capable of anticipating the future.</w:t>
      </w:r>
    </w:p>
    <w:p w14:paraId="65283114" w14:textId="77777777" w:rsidR="00092DD9" w:rsidRDefault="00092DD9" w:rsidP="00C0638A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</w:rPr>
      </w:pPr>
    </w:p>
    <w:p w14:paraId="747BCC2E" w14:textId="77777777" w:rsidR="00092DD9" w:rsidRDefault="00092DD9" w:rsidP="00C0638A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</w:rPr>
      </w:pPr>
    </w:p>
    <w:p w14:paraId="317ED9D6" w14:textId="64FCB783" w:rsidR="00403A2B" w:rsidRPr="007B6EE9" w:rsidRDefault="00403A2B" w:rsidP="00403A2B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p w14:paraId="48A94AB3" w14:textId="0C1979E8" w:rsidR="00092DD9" w:rsidRPr="007B6EE9" w:rsidRDefault="00092DD9" w:rsidP="00092DD9">
      <w:pPr>
        <w:contextualSpacing/>
        <w:jc w:val="both"/>
        <w:rPr>
          <w:rFonts w:asciiTheme="majorHAnsi" w:eastAsia="Times New Roman" w:hAnsiTheme="majorHAnsi" w:cstheme="majorHAnsi"/>
          <w:bCs/>
          <w:color w:val="000000" w:themeColor="text1"/>
          <w:lang w:val="en-GB"/>
        </w:rPr>
      </w:pPr>
    </w:p>
    <w:sectPr w:rsidR="00092DD9" w:rsidRPr="007B6EE9" w:rsidSect="004953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88" w:right="1331" w:bottom="2506" w:left="164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8B42" w14:textId="77777777" w:rsidR="00E67DBB" w:rsidRDefault="00E67DBB" w:rsidP="005034D4">
      <w:pPr>
        <w:spacing w:after="0" w:line="240" w:lineRule="auto"/>
      </w:pPr>
      <w:r>
        <w:separator/>
      </w:r>
    </w:p>
  </w:endnote>
  <w:endnote w:type="continuationSeparator" w:id="0">
    <w:p w14:paraId="5872FA00" w14:textId="77777777" w:rsidR="00E67DBB" w:rsidRDefault="00E67DBB" w:rsidP="0050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33844"/>
      <w:docPartObj>
        <w:docPartGallery w:val="Page Numbers (Bottom of Page)"/>
        <w:docPartUnique/>
      </w:docPartObj>
    </w:sdtPr>
    <w:sdtContent>
      <w:p w14:paraId="05145BC1" w14:textId="00B77BCB" w:rsidR="00C84E46" w:rsidRDefault="00C84E46">
        <w:pPr>
          <w:pStyle w:val="Pidipagina"/>
          <w:jc w:val="right"/>
        </w:pPr>
        <w:r w:rsidRPr="00C84E46">
          <w:rPr>
            <w:rFonts w:ascii="Arial" w:hAnsi="Arial" w:cs="Arial"/>
            <w:b/>
            <w:bCs/>
            <w:color w:val="0070C0"/>
          </w:rPr>
          <w:fldChar w:fldCharType="begin"/>
        </w:r>
        <w:r w:rsidRPr="00C84E46">
          <w:rPr>
            <w:rFonts w:ascii="Arial" w:hAnsi="Arial" w:cs="Arial"/>
            <w:b/>
            <w:bCs/>
            <w:color w:val="0070C0"/>
          </w:rPr>
          <w:instrText>PAGE   \* MERGEFORMAT</w:instrText>
        </w:r>
        <w:r w:rsidRPr="00C84E46">
          <w:rPr>
            <w:rFonts w:ascii="Arial" w:hAnsi="Arial" w:cs="Arial"/>
            <w:b/>
            <w:bCs/>
            <w:color w:val="0070C0"/>
          </w:rPr>
          <w:fldChar w:fldCharType="separate"/>
        </w:r>
        <w:r w:rsidRPr="00C84E46">
          <w:rPr>
            <w:rFonts w:ascii="Arial" w:hAnsi="Arial" w:cs="Arial"/>
            <w:b/>
            <w:bCs/>
            <w:color w:val="0070C0"/>
          </w:rPr>
          <w:t>2</w:t>
        </w:r>
        <w:r w:rsidRPr="00C84E46">
          <w:rPr>
            <w:rFonts w:ascii="Arial" w:hAnsi="Arial" w:cs="Arial"/>
            <w:b/>
            <w:bCs/>
            <w:color w:val="0070C0"/>
          </w:rPr>
          <w:fldChar w:fldCharType="end"/>
        </w:r>
      </w:p>
    </w:sdtContent>
  </w:sdt>
  <w:p w14:paraId="370B0D31" w14:textId="3E05D48A" w:rsidR="00BA67BC" w:rsidRDefault="00BA67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DB45" w14:textId="72674F09" w:rsidR="005034D4" w:rsidRDefault="005034D4" w:rsidP="00A604BA">
    <w:pPr>
      <w:pStyle w:val="Pidipagina"/>
      <w:ind w:hanging="16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A102" w14:textId="77777777" w:rsidR="00E67DBB" w:rsidRDefault="00E67DBB" w:rsidP="005034D4">
      <w:pPr>
        <w:spacing w:after="0" w:line="240" w:lineRule="auto"/>
      </w:pPr>
      <w:r>
        <w:separator/>
      </w:r>
    </w:p>
  </w:footnote>
  <w:footnote w:type="continuationSeparator" w:id="0">
    <w:p w14:paraId="0300DE40" w14:textId="77777777" w:rsidR="00E67DBB" w:rsidRDefault="00E67DBB" w:rsidP="0050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D978" w14:textId="3522FFAD" w:rsidR="005034D4" w:rsidRDefault="00DA2F3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519BB91D" wp14:editId="4AD15419">
          <wp:simplePos x="0" y="0"/>
          <wp:positionH relativeFrom="leftMargin">
            <wp:posOffset>776859</wp:posOffset>
          </wp:positionH>
          <wp:positionV relativeFrom="topMargin">
            <wp:posOffset>458470</wp:posOffset>
          </wp:positionV>
          <wp:extent cx="2139950" cy="621030"/>
          <wp:effectExtent l="0" t="0" r="0" b="0"/>
          <wp:wrapTopAndBottom/>
          <wp:docPr id="813315769" name="Immagine 813315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05341" name="Immagine 19472053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1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0DDC53DB" wp14:editId="40C0F248">
          <wp:simplePos x="0" y="0"/>
          <wp:positionH relativeFrom="column">
            <wp:posOffset>3911473</wp:posOffset>
          </wp:positionH>
          <wp:positionV relativeFrom="paragraph">
            <wp:posOffset>142240</wp:posOffset>
          </wp:positionV>
          <wp:extent cx="1741251" cy="389650"/>
          <wp:effectExtent l="0" t="0" r="0" b="4445"/>
          <wp:wrapNone/>
          <wp:docPr id="2545621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288" name="Immagine 7190712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1251" cy="38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2BA4" w14:textId="5047ED51" w:rsidR="005034D4" w:rsidRDefault="004953EB" w:rsidP="00821708">
    <w:pPr>
      <w:pStyle w:val="Intestazione"/>
      <w:ind w:left="-426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5423166" wp14:editId="5FE80D0F">
          <wp:simplePos x="0" y="0"/>
          <wp:positionH relativeFrom="column">
            <wp:posOffset>3907993</wp:posOffset>
          </wp:positionH>
          <wp:positionV relativeFrom="paragraph">
            <wp:posOffset>-20955</wp:posOffset>
          </wp:positionV>
          <wp:extent cx="1741251" cy="389650"/>
          <wp:effectExtent l="0" t="0" r="0" b="4445"/>
          <wp:wrapNone/>
          <wp:docPr id="7190712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71288" name="Immagine 7190712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1251" cy="38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3507DC5E" wp14:editId="0DA2F57E">
          <wp:simplePos x="0" y="0"/>
          <wp:positionH relativeFrom="leftMargin">
            <wp:posOffset>739005</wp:posOffset>
          </wp:positionH>
          <wp:positionV relativeFrom="topMargin">
            <wp:posOffset>286628</wp:posOffset>
          </wp:positionV>
          <wp:extent cx="2140085" cy="621477"/>
          <wp:effectExtent l="0" t="0" r="0" b="0"/>
          <wp:wrapTopAndBottom/>
          <wp:docPr id="1947205341" name="Immagine 1947205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05341" name="Immagine 19472053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40085" cy="621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836"/>
    <w:multiLevelType w:val="hybridMultilevel"/>
    <w:tmpl w:val="A5D08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C70"/>
    <w:multiLevelType w:val="hybridMultilevel"/>
    <w:tmpl w:val="26A28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4D40"/>
    <w:multiLevelType w:val="hybridMultilevel"/>
    <w:tmpl w:val="82BCF8E4"/>
    <w:lvl w:ilvl="0" w:tplc="B08ED7F0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1F497D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384519"/>
    <w:multiLevelType w:val="hybridMultilevel"/>
    <w:tmpl w:val="42E6E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527F9"/>
    <w:multiLevelType w:val="hybridMultilevel"/>
    <w:tmpl w:val="048CF0CE"/>
    <w:lvl w:ilvl="0" w:tplc="49885A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2BB1"/>
    <w:multiLevelType w:val="hybridMultilevel"/>
    <w:tmpl w:val="CAC444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02560"/>
    <w:multiLevelType w:val="hybridMultilevel"/>
    <w:tmpl w:val="42E6E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57B20"/>
    <w:multiLevelType w:val="hybridMultilevel"/>
    <w:tmpl w:val="C076F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B72B0"/>
    <w:multiLevelType w:val="hybridMultilevel"/>
    <w:tmpl w:val="1A3A8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11652">
    <w:abstractNumId w:val="2"/>
  </w:num>
  <w:num w:numId="2" w16cid:durableId="1702196005">
    <w:abstractNumId w:val="6"/>
  </w:num>
  <w:num w:numId="3" w16cid:durableId="1212308072">
    <w:abstractNumId w:val="4"/>
  </w:num>
  <w:num w:numId="4" w16cid:durableId="199322995">
    <w:abstractNumId w:val="0"/>
  </w:num>
  <w:num w:numId="5" w16cid:durableId="1202667017">
    <w:abstractNumId w:val="7"/>
  </w:num>
  <w:num w:numId="6" w16cid:durableId="1509714726">
    <w:abstractNumId w:val="1"/>
  </w:num>
  <w:num w:numId="7" w16cid:durableId="1854804940">
    <w:abstractNumId w:val="3"/>
  </w:num>
  <w:num w:numId="8" w16cid:durableId="502013814">
    <w:abstractNumId w:val="5"/>
  </w:num>
  <w:num w:numId="9" w16cid:durableId="969214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D4"/>
    <w:rsid w:val="00010CC6"/>
    <w:rsid w:val="00020C45"/>
    <w:rsid w:val="00024AAE"/>
    <w:rsid w:val="00026E74"/>
    <w:rsid w:val="0005226D"/>
    <w:rsid w:val="0006218D"/>
    <w:rsid w:val="00074170"/>
    <w:rsid w:val="00080C36"/>
    <w:rsid w:val="00092DD9"/>
    <w:rsid w:val="00096963"/>
    <w:rsid w:val="000A3A67"/>
    <w:rsid w:val="000A4E9C"/>
    <w:rsid w:val="000A7821"/>
    <w:rsid w:val="000B339C"/>
    <w:rsid w:val="000E065F"/>
    <w:rsid w:val="000E6025"/>
    <w:rsid w:val="000F423C"/>
    <w:rsid w:val="001313B3"/>
    <w:rsid w:val="00150138"/>
    <w:rsid w:val="00154166"/>
    <w:rsid w:val="00157B3B"/>
    <w:rsid w:val="00160AA2"/>
    <w:rsid w:val="0017331C"/>
    <w:rsid w:val="00182EBF"/>
    <w:rsid w:val="00184E9F"/>
    <w:rsid w:val="00192553"/>
    <w:rsid w:val="00197042"/>
    <w:rsid w:val="001B2D8C"/>
    <w:rsid w:val="001D71C0"/>
    <w:rsid w:val="001D7C48"/>
    <w:rsid w:val="001F0E99"/>
    <w:rsid w:val="00203082"/>
    <w:rsid w:val="002073CC"/>
    <w:rsid w:val="0023767B"/>
    <w:rsid w:val="00244837"/>
    <w:rsid w:val="00244EB6"/>
    <w:rsid w:val="002529AF"/>
    <w:rsid w:val="002708B8"/>
    <w:rsid w:val="00272D59"/>
    <w:rsid w:val="00290543"/>
    <w:rsid w:val="002A0027"/>
    <w:rsid w:val="00307AD1"/>
    <w:rsid w:val="00322089"/>
    <w:rsid w:val="00335C56"/>
    <w:rsid w:val="00342572"/>
    <w:rsid w:val="003564F1"/>
    <w:rsid w:val="003571D3"/>
    <w:rsid w:val="0037291A"/>
    <w:rsid w:val="00374FA5"/>
    <w:rsid w:val="0038435E"/>
    <w:rsid w:val="00387FFC"/>
    <w:rsid w:val="003A418E"/>
    <w:rsid w:val="003C4636"/>
    <w:rsid w:val="003D0260"/>
    <w:rsid w:val="00403A2B"/>
    <w:rsid w:val="00413678"/>
    <w:rsid w:val="00430C2C"/>
    <w:rsid w:val="004369D5"/>
    <w:rsid w:val="0044276C"/>
    <w:rsid w:val="00456134"/>
    <w:rsid w:val="0046329F"/>
    <w:rsid w:val="00470E64"/>
    <w:rsid w:val="00487504"/>
    <w:rsid w:val="0049023C"/>
    <w:rsid w:val="0049056B"/>
    <w:rsid w:val="00494E88"/>
    <w:rsid w:val="004953EB"/>
    <w:rsid w:val="004A29D2"/>
    <w:rsid w:val="004B11ED"/>
    <w:rsid w:val="004B4C3C"/>
    <w:rsid w:val="004B50B4"/>
    <w:rsid w:val="004B685B"/>
    <w:rsid w:val="004C0310"/>
    <w:rsid w:val="004F3024"/>
    <w:rsid w:val="004F3BC7"/>
    <w:rsid w:val="004F7055"/>
    <w:rsid w:val="005034D4"/>
    <w:rsid w:val="00503C8B"/>
    <w:rsid w:val="0053527C"/>
    <w:rsid w:val="00542FB7"/>
    <w:rsid w:val="00552E88"/>
    <w:rsid w:val="0055380E"/>
    <w:rsid w:val="00557101"/>
    <w:rsid w:val="00577C4E"/>
    <w:rsid w:val="00582100"/>
    <w:rsid w:val="00597D9E"/>
    <w:rsid w:val="005A1E7C"/>
    <w:rsid w:val="005A5C05"/>
    <w:rsid w:val="005A7F79"/>
    <w:rsid w:val="005E2E0F"/>
    <w:rsid w:val="005E6E44"/>
    <w:rsid w:val="00601698"/>
    <w:rsid w:val="00620A70"/>
    <w:rsid w:val="0064180B"/>
    <w:rsid w:val="00650FC3"/>
    <w:rsid w:val="00656777"/>
    <w:rsid w:val="00660C6A"/>
    <w:rsid w:val="00661C92"/>
    <w:rsid w:val="00672429"/>
    <w:rsid w:val="00684DE1"/>
    <w:rsid w:val="0069466D"/>
    <w:rsid w:val="00695951"/>
    <w:rsid w:val="006A268E"/>
    <w:rsid w:val="006A5C28"/>
    <w:rsid w:val="006A615E"/>
    <w:rsid w:val="006C4E6D"/>
    <w:rsid w:val="006E7BB3"/>
    <w:rsid w:val="006F0618"/>
    <w:rsid w:val="00715166"/>
    <w:rsid w:val="00720FD1"/>
    <w:rsid w:val="00734115"/>
    <w:rsid w:val="00775FBF"/>
    <w:rsid w:val="007814AA"/>
    <w:rsid w:val="00787067"/>
    <w:rsid w:val="007A1184"/>
    <w:rsid w:val="007B6EE9"/>
    <w:rsid w:val="00802F75"/>
    <w:rsid w:val="00810F6B"/>
    <w:rsid w:val="00821708"/>
    <w:rsid w:val="008914A9"/>
    <w:rsid w:val="008A61A9"/>
    <w:rsid w:val="008B05D2"/>
    <w:rsid w:val="008C3A22"/>
    <w:rsid w:val="008C7F2C"/>
    <w:rsid w:val="008E1D10"/>
    <w:rsid w:val="008E1D91"/>
    <w:rsid w:val="008E7E40"/>
    <w:rsid w:val="008F5EE2"/>
    <w:rsid w:val="00906A8F"/>
    <w:rsid w:val="009222A3"/>
    <w:rsid w:val="00925108"/>
    <w:rsid w:val="0092768D"/>
    <w:rsid w:val="00931AE7"/>
    <w:rsid w:val="009614DF"/>
    <w:rsid w:val="009640E9"/>
    <w:rsid w:val="00972299"/>
    <w:rsid w:val="009854F4"/>
    <w:rsid w:val="009A0A10"/>
    <w:rsid w:val="009D1715"/>
    <w:rsid w:val="009F0CE4"/>
    <w:rsid w:val="00A21F60"/>
    <w:rsid w:val="00A34047"/>
    <w:rsid w:val="00A55CA1"/>
    <w:rsid w:val="00A604BA"/>
    <w:rsid w:val="00A70B80"/>
    <w:rsid w:val="00A90100"/>
    <w:rsid w:val="00A95177"/>
    <w:rsid w:val="00AA01BB"/>
    <w:rsid w:val="00AA5038"/>
    <w:rsid w:val="00AB7E93"/>
    <w:rsid w:val="00AC38F3"/>
    <w:rsid w:val="00AC53ED"/>
    <w:rsid w:val="00AC5B7A"/>
    <w:rsid w:val="00AD7953"/>
    <w:rsid w:val="00AE17F0"/>
    <w:rsid w:val="00AE3923"/>
    <w:rsid w:val="00AF2ACB"/>
    <w:rsid w:val="00AF4E65"/>
    <w:rsid w:val="00B07A54"/>
    <w:rsid w:val="00B23E14"/>
    <w:rsid w:val="00B42882"/>
    <w:rsid w:val="00B43E7A"/>
    <w:rsid w:val="00B8310A"/>
    <w:rsid w:val="00B931EA"/>
    <w:rsid w:val="00BA67BC"/>
    <w:rsid w:val="00BC09DB"/>
    <w:rsid w:val="00BC3460"/>
    <w:rsid w:val="00BD1965"/>
    <w:rsid w:val="00BE4EAA"/>
    <w:rsid w:val="00BE5490"/>
    <w:rsid w:val="00C0638A"/>
    <w:rsid w:val="00C166D4"/>
    <w:rsid w:val="00C52A73"/>
    <w:rsid w:val="00C64CAE"/>
    <w:rsid w:val="00C73D83"/>
    <w:rsid w:val="00C81F5A"/>
    <w:rsid w:val="00C84E46"/>
    <w:rsid w:val="00C964B4"/>
    <w:rsid w:val="00CA4B37"/>
    <w:rsid w:val="00CB14BC"/>
    <w:rsid w:val="00CB6CBE"/>
    <w:rsid w:val="00CC0523"/>
    <w:rsid w:val="00CC79B3"/>
    <w:rsid w:val="00CD1650"/>
    <w:rsid w:val="00CD3388"/>
    <w:rsid w:val="00CE214B"/>
    <w:rsid w:val="00CE422D"/>
    <w:rsid w:val="00CF50C1"/>
    <w:rsid w:val="00D23D08"/>
    <w:rsid w:val="00D37F62"/>
    <w:rsid w:val="00D50192"/>
    <w:rsid w:val="00D66ECF"/>
    <w:rsid w:val="00D93227"/>
    <w:rsid w:val="00D95C7D"/>
    <w:rsid w:val="00DA0DFF"/>
    <w:rsid w:val="00DA2F3A"/>
    <w:rsid w:val="00DA64DD"/>
    <w:rsid w:val="00DB0DFE"/>
    <w:rsid w:val="00DB67F8"/>
    <w:rsid w:val="00DF6B8C"/>
    <w:rsid w:val="00E12CCC"/>
    <w:rsid w:val="00E22503"/>
    <w:rsid w:val="00E32255"/>
    <w:rsid w:val="00E3493D"/>
    <w:rsid w:val="00E444C1"/>
    <w:rsid w:val="00E458C6"/>
    <w:rsid w:val="00E54810"/>
    <w:rsid w:val="00E67DBB"/>
    <w:rsid w:val="00E80937"/>
    <w:rsid w:val="00E90C8B"/>
    <w:rsid w:val="00E91A7D"/>
    <w:rsid w:val="00EA64E3"/>
    <w:rsid w:val="00EB4345"/>
    <w:rsid w:val="00EC4D65"/>
    <w:rsid w:val="00EE38F9"/>
    <w:rsid w:val="00EF080D"/>
    <w:rsid w:val="00F07488"/>
    <w:rsid w:val="00F35530"/>
    <w:rsid w:val="00F41045"/>
    <w:rsid w:val="00F42FEF"/>
    <w:rsid w:val="00F66A0D"/>
    <w:rsid w:val="00F66E59"/>
    <w:rsid w:val="00F91139"/>
    <w:rsid w:val="00F9139B"/>
    <w:rsid w:val="00F94541"/>
    <w:rsid w:val="00FA7576"/>
    <w:rsid w:val="00FD5EA1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ADCBA"/>
  <w15:docId w15:val="{C1B4D74A-5C0D-3345-AFC6-A3A179D4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7B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4D4"/>
  </w:style>
  <w:style w:type="paragraph" w:styleId="Pidipagina">
    <w:name w:val="footer"/>
    <w:basedOn w:val="Normale"/>
    <w:link w:val="PidipaginaCarattere"/>
    <w:uiPriority w:val="99"/>
    <w:unhideWhenUsed/>
    <w:rsid w:val="00503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4D4"/>
  </w:style>
  <w:style w:type="paragraph" w:styleId="Paragrafoelenco">
    <w:name w:val="List Paragraph"/>
    <w:basedOn w:val="Normale"/>
    <w:uiPriority w:val="34"/>
    <w:qFormat/>
    <w:rsid w:val="00C84E46"/>
    <w:pPr>
      <w:spacing w:after="0" w:line="240" w:lineRule="auto"/>
      <w:ind w:left="720"/>
    </w:pPr>
    <w:rPr>
      <w:rFonts w:ascii="Calibri" w:eastAsia="Calibri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C84E4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0B3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 Dantone</cp:lastModifiedBy>
  <cp:revision>2</cp:revision>
  <cp:lastPrinted>2026-04-27T08:11:00Z</cp:lastPrinted>
  <dcterms:created xsi:type="dcterms:W3CDTF">2026-04-28T10:16:00Z</dcterms:created>
  <dcterms:modified xsi:type="dcterms:W3CDTF">2026-04-28T10:16:00Z</dcterms:modified>
</cp:coreProperties>
</file>